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kern w:val="36"/>
          <w:sz w:val="30"/>
          <w:szCs w:val="30"/>
        </w:rPr>
      </w:pPr>
      <w:r w:rsidRPr="009E2ED9">
        <w:rPr>
          <w:rFonts w:ascii="微软雅黑" w:eastAsia="微软雅黑" w:hAnsi="微软雅黑" w:cs="宋体" w:hint="eastAsia"/>
          <w:b/>
          <w:bCs/>
          <w:kern w:val="36"/>
          <w:sz w:val="30"/>
          <w:szCs w:val="30"/>
        </w:rPr>
        <w:t>教育部 财政部关于印发《中国特色高水平高职学校和专业建设计划项目遴选管理办法（试行）》的通知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教职成〔2019〕8号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各省、自治区、直辖市教育厅（教委）、财政厅（局），新疆生产建设兵团教育局、财政局：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根据《教育部 财政部关于实施中国特色高水平高职学校和专业建设计划的意见》（教职成〔2019〕5号），教育部、财政部研究制定了《中国特色高水平高职学校和专业建设计划项目遴选管理办法（试行）》，现印发你们，请遵照执行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教育部 财政部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2019年4月16日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中国特色高水平高职学校和专业建设计划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项目遴选管理办法（试行）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第一章　总则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第一条 为加强中国特色高水平高职学校和专业建设计划（简称“双高计划”）项目管理，保证“双高计划”顺利实施，根据《教育部 财政部关于实施中国特色高水平高职学校和专业建设计划的意见》（教职成〔2019〕5号），制定本办法。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第二条 教育部、财政部（简称两部）联合组织管理，地方（包括项目学校举办方，下同）统筹推进项目建设，学校具体实施。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第三条 项目资金包括中央财政资金、地方财政资金和学校自筹资金。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第四条 “双高计划”每五年一个支持周期，2019年启动第一轮建设。实行总量控制、动态管理，年度评价、期满考核，有进有出、优胜劣汰。重点支持建设50所左右高水平高职学校和150个左右高水平专业群。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第二章　职责分工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第五条 两部负责总体规划、协调推进等重大事项的决策，主要职责包括：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（一）项目设计、审核立项、过程监管、绩效管理；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（二）规划阶段重点任务，统筹安排中央财政资金；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 组建项目建设咨询专家委员会（简称“专委会”）；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（四）审定项目遴选和考核标准；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（五）指导省级教育和财政部门管理区域绩效；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（六）委托第三方评价项目绩效。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教育部职业教育与成人教育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司承担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“双高计划”日常工作。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第六条 专委会由有关行业主管部门、学校、科研机构、行业企业专家组成，受两部委托主要承担以下工作：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（一） 研制“双高计划”建设单位遴选标准和考核标准；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（二）评审建设方案和任务书；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（三）为项目建设提供咨询服务。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第七条 省级教育和财政部门主要履行以下职责：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（一）根据遴选条件，开展项目预审和推荐工作；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（二）指导监督本区域项目建设，协调解决有关问题；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（三）落实项目学校的相关支持政策和建设资金，并对项目实施监管。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第八条 项目学校举办方主要履行以下职责：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（一）发挥办学主体作用，在政策、资金、资源等方面提供支持，营造良好的项目建设环境；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（二）指导项目建设工作，协调解决有关问题。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第九条 项目学校主要履行以下职责：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（一）编制报送项目建设方案和任务书；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（二）按照批复的建设方案和任务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书开展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项目建设；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（三）确保项目资金使用规范、安全、高效；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（四）完成项目绩效目标，按要求报送项目建设报告，并接受监控、审计和评价。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第三章 项目遴选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第十条 “双高计划”遴选坚持质量为先、改革导向、扶优扶强，面向独立设置的专科高职学校（包括社会力量举办的专科高职学校），分高水平学校和高水平专业群两类布局。在高职学校年生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均财政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拨款水平达到国家统一要求且逐年增长的前提下，</w:t>
      </w:r>
      <w:r w:rsidRPr="00052B14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对职业教育发展环境好、重点工作推进有力、改革成效明显、“双高计划”政策资金保障力度大</w:t>
      </w: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的省份予以倾斜支持。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第十一条 学校须具备以下基本条件：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（一）学校办学条件高于专科高职学校设置标准，数字校园基础设施高于《职业院校数字校园建设规范》标准。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（二）学校人才培养和治理水平高，</w:t>
      </w:r>
      <w:r w:rsidRPr="0087198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在产教融合、校企合作方面成效显著，对区域发展贡献度高</w:t>
      </w: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，已取得以下工作成效：被确定为《高等职业教育创新发展行动计划（2015—2018年）》省级及以上优质高职学校建设单位；已制定学校章程并经省级备案，设有理事会或董事会机构，成立校级学术委员会，内部质量保证体系健全；财务管理规范，内部控制制度健全；牵头组建实体化运行的职业教育集团，合作企业对学校支持投入力度大；成立应用技术协同创新中心、技能大师工作室；非学历培训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人日数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不低于全日制在校生数；近三年招生计划完成率不低于90%，毕业生半年后就业率不低于95%；配合“走出去”企业开展员工教育培训、有教育部备案的中外合作办学项目或招收学历教育留学生。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（三）学校坚持职业教育办学定位和方向，干事创业的积极性、主动性、创造性高，教育教学改革、校企合作和专业建设基础好，人才培养质量和师资队伍水平高，学生就业水平高，社会支持度高。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（四）学校在以下9项标志性成果中有不少于5项：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1．近两届获得过国家级教学成果奖励（第一完成单位）；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2.主持国家级职业教育专业教学资源库立项项目且应用效果好；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3.承担国家级教育教学改革试点且成效明显（仅包括现代学徒制试点、“三全育人”综合改革试点、教学工作诊断与改进工作试点、定向培养士官试点）；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4.有国家级重点专业（仅包括国家示范、骨干高职学校支持的重点专业）；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5.近五年学校就业工作被评为全国就业创业典型（仅包括全国毕业生就业典型经验高校、创新创业典型经验高校、创新创业教育改革示范高校）；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6.近五年学生在国家级及以上竞赛中获得过奖励（仅包括世界技能大赛、全国职业院校技能大赛、中国“互联网+”大学生创新创业大赛、“挑战杯”全国大学生课外学术科技作品竞赛和中国大学生创业计划竞赛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7.教师获得过国家级奖励（仅包括“万人计划”教学名师、全国高校黄大年式团队、全国职业院校教学能力比赛获奖）；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8.建立校级竞赛制度，近五年承办过全国职业院校技能大赛；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9.建立校级质量年报制度，近五年连续发布《高等职业院校质量年度报告》且未有负面行为被通报。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在满足以上条件的基础上，学校近五年在招生、财务、实习、学生管理等方面未出现过重大违纪违规行为。学校未列入本省升本规划。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第十二条 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专业群须具备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以下基本条件：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（一）专业群定位准确，对接国家和区域主导产业、支柱产业和战略性新兴产业重点领域。</w:t>
      </w:r>
      <w:bookmarkStart w:id="0" w:name="_GoBack"/>
      <w:r w:rsidRPr="0087198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专业群组建逻辑清晰，群</w:t>
      </w:r>
      <w:proofErr w:type="gramStart"/>
      <w:r w:rsidRPr="0087198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内专业</w:t>
      </w:r>
      <w:proofErr w:type="gramEnd"/>
      <w:r w:rsidRPr="0087198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教学资源共享度、就业相关度较高</w:t>
      </w:r>
      <w:bookmarkEnd w:id="0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，形成优势互补、协同发展的建设机制。专业特色鲜明，行业优势明显，有较强社会影响力。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专业群有高水平专业带头人和教学创新团队，校外兼职教师素质优良。实践教学基地设施先进、管理规范，基地建设与实践教学项目设计相适应、相配套。校企共同设计科学规范的专业群课程体系，反映行业领域的新技术、新工艺、新规范，信息技术深度融入教育教学，线上线下课程资源丰富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（三）专业群生源质量好，保持一定办学规模。建立毕业生就业跟踪调查机制，学生就业对口率、用人单位满意度、学生就业满意度高。与行业企业深入合作开展科技研发应用，科研项目、专利数量多。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第十三条 项目遴选包括学校申报、省级推荐、遴选确定等3个环节。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（一）学校申报。满足第十条、十一条、十二条的学校自愿申报，按要求向省级教育部门提交申报材料（包括申报书、学校总体建设方案、不超过2个专业群的建设方案、真实性声明、承诺书等）。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（二）省级推荐。省级教育部门会同财政部门依据基本条件择优遴选，学校申报材料及遴选结果公示无异议后，出具推荐函（包括推荐院校顺序名单、真实性声明等），与推荐学校申报材料一并报两部。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（三）遴选确定。两部委托专委会依次开展高水平学校、高水平专业群项目遴选。专委会根据高水平学校和专业群遴选标准，分别对学校和专业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群评价赋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分。依据学校和2个专业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群赋分综合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排序，确定高水平学校推荐单位，推荐结果分为三档，A档10所、B档20所、C档20所左右；依据学校和1个专业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群赋分综合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排序，考虑产业布局和专业群布点，确定高水平专业群推荐单位，推荐结果分为三档，A档30所、B档60所、C档60所左右。两部对推荐结果进行审核、公示并公布结果。根据年度资金安排，中央财政通过相关转移支付引导支持建设一批，地方和学校自筹资金建设一批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第四章 项目实施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第十四条 项目学校根据建设任务和预算安排，确定绩效目标，编制项目任务书。省级教育、财政部门核准后报两部审定。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第十五条 项目学校根据审定意见修订完善建设方案和任务书，报两部备案并启动建设。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第十六条 项目学校按照备案的建设方案和任务</w:t>
      </w:r>
      <w:proofErr w:type="gramStart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书实施</w:t>
      </w:r>
      <w:proofErr w:type="gramEnd"/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>建设，原则上不作调整。建设过程中确需调整，须经省级教育、财政部门核准并报两部备案。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第十七条 每个支持周期结束，项目学校按要求提交验收报告，经省级验收后报两部复核。复核结果予以公布，并作为下一周期遴选的重要依据。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第五章 项目管理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第十八条 制定绩效评价办法，全面实施预算绩效管理、落实管理责任、改进管理方式，提高经费使用绩效。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第十九条 绩效评价结果作为调整项目资金支持额度的重要依据。对资金筹措有力、建设成效显著的项目，加大支持力度；对资金筹措不力、实施进展缓慢、建设实效有限的项目，提出警告并酌减资金支持额度。出现重大问题，经整改仍无改善的项目，中止项目建设。中止建设的项目学校不得再次申请“双高计划”项目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第二十条 有下列行为视其情节轻重给予警告、限期整改、中止项目等处理：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（一）编报虚假预算，套取国家财政资金；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（二）项目执行不力，未开展实质性建设；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（三）擅自调整批复的建设方案和任务书内容；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（四）项目经费使用不符合国家财务制度规定；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（五）其他违反国家法律法规和本办法规定的行为。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lastRenderedPageBreak/>
        <w:t xml:space="preserve">第六章 附 则 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第二十一条 本办法自发布之日起施行。各地应根据本办法制订实施细则。</w:t>
      </w:r>
    </w:p>
    <w:p w:rsidR="00AB01C7" w:rsidRPr="009E2ED9" w:rsidRDefault="00AB01C7" w:rsidP="00AB01C7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E2ED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第二十二条 本办法由两部负责解释和修订。</w:t>
      </w:r>
    </w:p>
    <w:p w:rsidR="00F50CEF" w:rsidRPr="009E2ED9" w:rsidRDefault="00F50CEF"/>
    <w:sectPr w:rsidR="00F50CEF" w:rsidRPr="009E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D7" w:rsidRDefault="007F13D7" w:rsidP="00AB01C7">
      <w:r>
        <w:separator/>
      </w:r>
    </w:p>
  </w:endnote>
  <w:endnote w:type="continuationSeparator" w:id="0">
    <w:p w:rsidR="007F13D7" w:rsidRDefault="007F13D7" w:rsidP="00A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D7" w:rsidRDefault="007F13D7" w:rsidP="00AB01C7">
      <w:r>
        <w:separator/>
      </w:r>
    </w:p>
  </w:footnote>
  <w:footnote w:type="continuationSeparator" w:id="0">
    <w:p w:rsidR="007F13D7" w:rsidRDefault="007F13D7" w:rsidP="00AB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9D"/>
    <w:rsid w:val="00052B14"/>
    <w:rsid w:val="005E509D"/>
    <w:rsid w:val="007F13D7"/>
    <w:rsid w:val="00871989"/>
    <w:rsid w:val="009E2ED9"/>
    <w:rsid w:val="00A43AFD"/>
    <w:rsid w:val="00AB01C7"/>
    <w:rsid w:val="00C40D7E"/>
    <w:rsid w:val="00C8372C"/>
    <w:rsid w:val="00E14164"/>
    <w:rsid w:val="00F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1C7"/>
    <w:rPr>
      <w:sz w:val="18"/>
      <w:szCs w:val="18"/>
    </w:rPr>
  </w:style>
  <w:style w:type="character" w:styleId="a5">
    <w:name w:val="Strong"/>
    <w:basedOn w:val="a0"/>
    <w:uiPriority w:val="22"/>
    <w:qFormat/>
    <w:rsid w:val="00AB0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1C7"/>
    <w:rPr>
      <w:sz w:val="18"/>
      <w:szCs w:val="18"/>
    </w:rPr>
  </w:style>
  <w:style w:type="character" w:styleId="a5">
    <w:name w:val="Strong"/>
    <w:basedOn w:val="a0"/>
    <w:uiPriority w:val="22"/>
    <w:qFormat/>
    <w:rsid w:val="00AB0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951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96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01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9</cp:revision>
  <dcterms:created xsi:type="dcterms:W3CDTF">2019-04-18T03:07:00Z</dcterms:created>
  <dcterms:modified xsi:type="dcterms:W3CDTF">2019-04-20T02:12:00Z</dcterms:modified>
</cp:coreProperties>
</file>